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Грачевский муниципальный округ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Информация о платежных реквизитах для перечисления средств в доход бюджета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Арендная плата за земельные участки (перерасчеты, недоимка и задолженность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1000 120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  ОКТМО 07517000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Арендная плата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Пени (пени и проценты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2000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07517000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пени договор аренды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Штрафы (сумма денежных взысканий (штрафов) по соответствующему платежу).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3000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07517000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штрафов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по соглашениям об установлении сервитута,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011 1 11 05312 14 0000 120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07517000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за сервитут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соглашения,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от продажи земельных участков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14 06012 14 0000 430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07517000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договор №____, дата__________ (ФИО/наименование покупателя).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b323f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323f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323fa"/>
    <w:rPr>
      <w:b/>
      <w:bCs/>
    </w:rPr>
  </w:style>
  <w:style w:type="character" w:styleId="Emphasis">
    <w:name w:val="Emphasis"/>
    <w:basedOn w:val="DefaultParagraphFont"/>
    <w:uiPriority w:val="20"/>
    <w:qFormat/>
    <w:rsid w:val="00b323fa"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23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LibreOffice/7.6.4.1$Linux_X86_64 LibreOffice_project/60$Build-1</Application>
  <AppVersion>15.0000</AppVersion>
  <Pages>3</Pages>
  <Words>439</Words>
  <Characters>3485</Characters>
  <CharactersWithSpaces>3893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dcterms:modified xsi:type="dcterms:W3CDTF">2025-10-30T15:58:05Z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